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20621" w14:textId="77777777" w:rsidR="00214D23" w:rsidRDefault="00214D23" w:rsidP="00A617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00" w:lineRule="atLeast"/>
        <w:outlineLvl w:val="0"/>
        <w:rPr>
          <w:rFonts w:ascii="Segoe UI" w:eastAsia="Times New Roman" w:hAnsi="Segoe UI" w:cs="Segoe UI"/>
          <w:b/>
          <w:bCs/>
          <w:kern w:val="36"/>
          <w:sz w:val="28"/>
          <w:szCs w:val="28"/>
          <w:bdr w:val="none" w:sz="0" w:space="0" w:color="auto"/>
        </w:rPr>
      </w:pPr>
    </w:p>
    <w:p w14:paraId="49864C11" w14:textId="2F796059" w:rsidR="00A6177E" w:rsidRPr="00A6177E" w:rsidRDefault="00A6177E" w:rsidP="00A617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00" w:lineRule="atLeast"/>
        <w:outlineLvl w:val="0"/>
        <w:rPr>
          <w:rFonts w:ascii="Segoe UI" w:eastAsia="Times New Roman" w:hAnsi="Segoe UI" w:cs="Segoe UI"/>
          <w:b/>
          <w:bCs/>
          <w:kern w:val="36"/>
          <w:sz w:val="28"/>
          <w:szCs w:val="28"/>
          <w:bdr w:val="none" w:sz="0" w:space="0" w:color="auto"/>
        </w:rPr>
      </w:pPr>
      <w:r w:rsidRPr="00A6177E">
        <w:rPr>
          <w:rFonts w:ascii="Segoe UI" w:eastAsia="Times New Roman" w:hAnsi="Segoe UI" w:cs="Segoe UI"/>
          <w:b/>
          <w:bCs/>
          <w:kern w:val="36"/>
          <w:sz w:val="28"/>
          <w:szCs w:val="28"/>
          <w:bdr w:val="none" w:sz="0" w:space="0" w:color="auto"/>
        </w:rPr>
        <w:t>The Business Case for ANCC Pathway to Excellence®</w:t>
      </w:r>
    </w:p>
    <w:p w14:paraId="4020F354" w14:textId="77777777" w:rsidR="00A6177E" w:rsidRPr="00A6177E" w:rsidRDefault="00A6177E" w:rsidP="00A617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Healthcare organizations continue to face intense financial pressures driven by workforce instability, rising labor costs, and increasing penalties tied to quality and safety outcomes. The </w:t>
      </w:r>
      <w:r w:rsidRPr="00A6177E">
        <w:rPr>
          <w:rFonts w:ascii="Segoe UI" w:eastAsia="Times New Roman" w:hAnsi="Segoe UI" w:cs="Segoe UI"/>
          <w:b/>
          <w:bCs/>
          <w:sz w:val="21"/>
          <w:szCs w:val="21"/>
          <w:bdr w:val="none" w:sz="0" w:space="0" w:color="auto"/>
        </w:rPr>
        <w:t>ANCC Pathway to Excellence®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credential offers a proven, evidence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noBreakHyphen/>
        <w:t>based strategy to improve organizational performance while strengthening the nursing workforce.</w:t>
      </w:r>
    </w:p>
    <w:p w14:paraId="4B23BE79" w14:textId="49FE1D31" w:rsidR="00A6177E" w:rsidRPr="00A6177E" w:rsidRDefault="00A6177E" w:rsidP="00A617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A 2026 </w:t>
      </w:r>
      <w:r w:rsidRPr="00A6177E">
        <w:rPr>
          <w:rFonts w:ascii="Segoe UI" w:eastAsia="Times New Roman" w:hAnsi="Segoe UI" w:cs="Segoe UI"/>
          <w:i/>
          <w:iCs/>
          <w:sz w:val="21"/>
          <w:szCs w:val="21"/>
          <w:bdr w:val="none" w:sz="0" w:space="0" w:color="auto"/>
        </w:rPr>
        <w:t>Journal of Nursing Administration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analysis</w:t>
      </w:r>
      <w:r w:rsidRPr="00A6177E">
        <w:t xml:space="preserve"> 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demonstrates that organizations implementing the Pathway framework are strongly associated with better perceptions of the work environment, improved quality, safety, and operational outcomes.</w:t>
      </w:r>
    </w:p>
    <w:p w14:paraId="354F0372" w14:textId="24F54480" w:rsidR="00A6177E" w:rsidRPr="00A6177E" w:rsidRDefault="00A6177E" w:rsidP="00A617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The Pathway ROI Toolkit highlights substantial cost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noBreakHyphen/>
        <w:t>saving opportunities. Reductions in RN turnover</w:t>
      </w:r>
      <w:r w:rsidR="00826C69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can save hospitals millions annually. Lower contract labor use and improvements in nurse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noBreakHyphen/>
        <w:t xml:space="preserve">sensitive indicators such as CAUTI, CLABSI, HAPI, VAP, and falls with injury further enhance cost avoidance, collectively generating savings far exceeding the direct cost of </w:t>
      </w:r>
      <w:r w:rsidR="00826C69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embarking on the Pathway to Excellence journey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. </w:t>
      </w:r>
    </w:p>
    <w:p w14:paraId="342DDE7A" w14:textId="5B787053" w:rsidR="00637C8E" w:rsidRDefault="008A33CC" w:rsidP="00637C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  <w:r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The Pathway framework is aligned with the 2022 and 2024 </w:t>
      </w:r>
      <w:r w:rsidRPr="008A33CC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National Academies of Medicine’s </w:t>
      </w:r>
      <w:r w:rsidRPr="004B6FFA">
        <w:rPr>
          <w:rFonts w:ascii="Segoe UI" w:eastAsia="Times New Roman" w:hAnsi="Segoe UI" w:cs="Segoe UI"/>
          <w:i/>
          <w:iCs/>
          <w:sz w:val="21"/>
          <w:szCs w:val="21"/>
          <w:bdr w:val="none" w:sz="0" w:space="0" w:color="auto"/>
        </w:rPr>
        <w:t>National Plan for Health Workforce Well‑Being</w:t>
      </w:r>
      <w:r w:rsidRPr="004B6FFA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. </w:t>
      </w:r>
      <w:r w:rsidR="00A6177E" w:rsidRPr="004B6FFA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Pathway designat</w:t>
      </w:r>
      <w:r w:rsidRPr="004B6FFA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ed</w:t>
      </w:r>
      <w:r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organizations also</w:t>
      </w:r>
      <w:r w:rsidR="00A6177E"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</w:t>
      </w:r>
      <w:r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get </w:t>
      </w:r>
      <w:r w:rsidR="00A6177E"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full credit for Safe Practice #9 in the Leapfrog Hospital Survey</w:t>
      </w:r>
      <w:r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. Being </w:t>
      </w:r>
      <w:r w:rsidRPr="008A33CC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align</w:t>
      </w:r>
      <w:r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ed </w:t>
      </w:r>
      <w:r w:rsidRPr="008A33CC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with national workforce and safety benchmarks </w:t>
      </w:r>
      <w:r w:rsidR="00A6177E"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position</w:t>
      </w:r>
      <w:r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s</w:t>
      </w:r>
      <w:r w:rsidR="00A6177E"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organizations as leaders in workforce excellence. </w:t>
      </w:r>
    </w:p>
    <w:p w14:paraId="5271ABA4" w14:textId="62AC134E" w:rsidR="00A6177E" w:rsidRDefault="00A6177E" w:rsidP="00637C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br/>
      </w:r>
      <w:r w:rsidR="00E729CA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R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eview </w:t>
      </w:r>
      <w:r w:rsidRPr="00A6177E">
        <w:rPr>
          <w:rFonts w:ascii="Segoe UI" w:eastAsia="Times New Roman" w:hAnsi="Segoe UI" w:cs="Segoe UI"/>
          <w:i/>
          <w:iCs/>
          <w:sz w:val="21"/>
          <w:szCs w:val="21"/>
          <w:bdr w:val="none" w:sz="0" w:space="0" w:color="auto"/>
        </w:rPr>
        <w:t>The Evidence Behind ANCC’s Pathway to Excellence® Credential’s Return on Investment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for a detailed analysis of financial and workforce </w:t>
      </w:r>
      <w:r w:rsidRPr="00A6177E">
        <w:rPr>
          <w:rFonts w:asciiTheme="minorHAnsi" w:eastAsia="Times New Roman" w:hAnsiTheme="minorHAnsi" w:cs="Segoe UI"/>
          <w:sz w:val="21"/>
          <w:szCs w:val="21"/>
          <w:bdr w:val="none" w:sz="0" w:space="0" w:color="auto"/>
        </w:rPr>
        <w:t xml:space="preserve">outcomes </w:t>
      </w:r>
      <w:hyperlink r:id="rId11" w:history="1">
        <w:r w:rsidRPr="00A6177E">
          <w:rPr>
            <w:rFonts w:asciiTheme="minorHAnsi" w:hAnsiTheme="minorHAnsi"/>
            <w:color w:val="0000FF"/>
            <w:sz w:val="22"/>
            <w:szCs w:val="22"/>
            <w:u w:val="single"/>
          </w:rPr>
          <w:t>JONA: The Journal of Nursing Administration</w:t>
        </w:r>
      </w:hyperlink>
      <w:r w:rsidRPr="00A6177E">
        <w:rPr>
          <w:rFonts w:asciiTheme="minorHAnsi" w:eastAsia="Times New Roman" w:hAnsiTheme="minorHAnsi" w:cs="Segoe UI"/>
          <w:sz w:val="21"/>
          <w:szCs w:val="21"/>
          <w:bdr w:val="none" w:sz="0" w:space="0" w:color="auto"/>
        </w:rPr>
        <w:t xml:space="preserve">. Then, use the accompanying </w:t>
      </w:r>
      <w:r w:rsidRPr="00A6177E">
        <w:rPr>
          <w:rFonts w:asciiTheme="minorHAnsi" w:eastAsia="Times New Roman" w:hAnsiTheme="minorHAnsi" w:cs="Segoe UI"/>
          <w:b/>
          <w:bCs/>
          <w:sz w:val="21"/>
          <w:szCs w:val="21"/>
          <w:bdr w:val="none" w:sz="0" w:space="0" w:color="auto"/>
        </w:rPr>
        <w:t>Pathway ROI Toolkit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 xml:space="preserve"> to calculate your organization’s projected cost savings and determine the full financial impact of </w:t>
      </w:r>
      <w:r w:rsidR="00826C69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utilizing the Pathway to Excellence Framework for Creating Positive Practice Environments</w:t>
      </w:r>
      <w:r w:rsidRPr="00A6177E">
        <w:rPr>
          <w:rFonts w:ascii="Segoe UI" w:eastAsia="Times New Roman" w:hAnsi="Segoe UI" w:cs="Segoe UI"/>
          <w:sz w:val="21"/>
          <w:szCs w:val="21"/>
          <w:bdr w:val="none" w:sz="0" w:space="0" w:color="auto"/>
        </w:rPr>
        <w:t>.</w:t>
      </w:r>
    </w:p>
    <w:p w14:paraId="5F7CC102" w14:textId="77777777" w:rsidR="00B53A01" w:rsidRDefault="00B53A01" w:rsidP="00637C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</w:p>
    <w:p w14:paraId="7D2F8A19" w14:textId="77777777" w:rsidR="008A33CC" w:rsidRDefault="008A33CC" w:rsidP="008A33CC">
      <w:pPr>
        <w:rPr>
          <w:rFonts w:ascii="Cochocib Script Latin Pro" w:hAnsi="Cochocib Script Latin Pro"/>
          <w:b/>
          <w:bCs/>
          <w:sz w:val="28"/>
          <w:szCs w:val="28"/>
        </w:rPr>
      </w:pPr>
      <w:r>
        <w:rPr>
          <w:rFonts w:ascii="Cochocib Script Latin Pro" w:hAnsi="Cochocib Script Latin Pro"/>
          <w:b/>
          <w:bCs/>
          <w:sz w:val="28"/>
          <w:szCs w:val="28"/>
        </w:rPr>
        <w:t>Christine</w:t>
      </w:r>
    </w:p>
    <w:p w14:paraId="23D1CAF5" w14:textId="77777777" w:rsidR="008A33CC" w:rsidRDefault="008A33CC" w:rsidP="008A33CC">
      <w:pPr>
        <w:rPr>
          <w:rFonts w:ascii="Cochocib Script Latin Pro" w:hAnsi="Cochocib Script Latin Pro"/>
          <w:b/>
          <w:bCs/>
          <w:sz w:val="28"/>
          <w:szCs w:val="28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5580"/>
      </w:tblGrid>
      <w:tr w:rsidR="008A33CC" w14:paraId="4203368A" w14:textId="77777777">
        <w:trPr>
          <w:trHeight w:val="215"/>
        </w:trPr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14:paraId="4263E5CE" w14:textId="6B4EF64B" w:rsidR="008A33CC" w:rsidRDefault="008A33CC">
            <w:pPr>
              <w:pStyle w:val="BodyText"/>
              <w:jc w:val="center"/>
            </w:pPr>
            <w:r>
              <w:rPr>
                <w:noProof/>
              </w:rPr>
              <w:drawing>
                <wp:inline distT="0" distB="0" distL="0" distR="0" wp14:anchorId="0B48A6B1" wp14:editId="57620AFC">
                  <wp:extent cx="476250" cy="1114425"/>
                  <wp:effectExtent l="0" t="0" r="0" b="9525"/>
                  <wp:docPr id="882706701" name="Picture 1" descr="ANA FLame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ANA FLame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0" w:type="dxa"/>
            <w:tcBorders>
              <w:top w:val="nil"/>
              <w:left w:val="single" w:sz="4" w:space="0" w:color="BFBFBF"/>
              <w:bottom w:val="nil"/>
              <w:right w:val="nil"/>
            </w:tcBorders>
            <w:vAlign w:val="center"/>
            <w:hideMark/>
          </w:tcPr>
          <w:p w14:paraId="0D73F0A6" w14:textId="77777777" w:rsidR="008A33CC" w:rsidRDefault="008A33CC">
            <w:pPr>
              <w:pStyle w:val="BodyText"/>
              <w:spacing w:after="0" w:line="240" w:lineRule="auto"/>
              <w:rPr>
                <w:rFonts w:ascii="Aptos" w:eastAsia="Times New Roman" w:hAnsi="Aptos" w:cs="Calibri"/>
                <w:b/>
                <w:bCs/>
                <w:i/>
                <w:iCs/>
                <w:noProof/>
                <w:color w:val="C00000"/>
                <w:sz w:val="18"/>
                <w:szCs w:val="18"/>
              </w:rPr>
            </w:pPr>
            <w:r>
              <w:rPr>
                <w:rFonts w:ascii="Aptos" w:eastAsia="Times New Roman" w:hAnsi="Aptos" w:cs="Calibri"/>
                <w:b/>
                <w:bCs/>
                <w:noProof/>
                <w:color w:val="C00000"/>
                <w:sz w:val="18"/>
                <w:szCs w:val="18"/>
              </w:rPr>
              <w:t xml:space="preserve">Christine Pabico </w:t>
            </w:r>
            <w:r>
              <w:rPr>
                <w:rFonts w:ascii="Aptos" w:eastAsia="Times New Roman" w:hAnsi="Aptos" w:cs="Calibri"/>
                <w:b/>
                <w:bCs/>
                <w:noProof/>
                <w:color w:val="7F7F7F"/>
                <w:sz w:val="18"/>
                <w:szCs w:val="18"/>
              </w:rPr>
              <w:t>I</w:t>
            </w:r>
            <w:r>
              <w:rPr>
                <w:rFonts w:ascii="Aptos" w:eastAsia="Times New Roman" w:hAnsi="Aptos" w:cs="Calibri"/>
                <w:b/>
                <w:bCs/>
                <w:noProof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Aptos" w:eastAsia="Times New Roman" w:hAnsi="Aptos" w:cs="Calibri"/>
                <w:noProof/>
                <w:sz w:val="18"/>
                <w:szCs w:val="18"/>
              </w:rPr>
              <w:t>PhD, RN, NE-BC, FAAN, FFNMRCSI</w:t>
            </w:r>
            <w:r>
              <w:rPr>
                <w:rFonts w:ascii="Aptos" w:eastAsia="Times New Roman" w:hAnsi="Aptos" w:cs="Calibri"/>
                <w:noProof/>
                <w:color w:val="FF0000"/>
                <w:sz w:val="18"/>
                <w:szCs w:val="18"/>
              </w:rPr>
              <w:br/>
            </w:r>
            <w:r>
              <w:rPr>
                <w:rFonts w:ascii="Aptos" w:eastAsia="Times New Roman" w:hAnsi="Aptos" w:cs="Calibri"/>
                <w:noProof/>
                <w:sz w:val="18"/>
                <w:szCs w:val="18"/>
              </w:rPr>
              <w:t>Sr. Director, Pathway to Excellence and Well-being Excellence</w:t>
            </w:r>
          </w:p>
          <w:p w14:paraId="33E3B77E" w14:textId="77777777" w:rsidR="008A33CC" w:rsidRDefault="008A33CC">
            <w:pPr>
              <w:pStyle w:val="BodyText"/>
              <w:spacing w:after="0" w:line="240" w:lineRule="auto"/>
              <w:rPr>
                <w:rFonts w:ascii="Aptos" w:eastAsia="Times New Roman" w:hAnsi="Aptos" w:cs="Calibri"/>
                <w:b/>
                <w:bCs/>
                <w:noProof/>
                <w:color w:val="C00000"/>
                <w:sz w:val="14"/>
                <w:szCs w:val="14"/>
              </w:rPr>
            </w:pPr>
            <w:r>
              <w:rPr>
                <w:rFonts w:ascii="Aptos" w:eastAsia="Times New Roman" w:hAnsi="Aptos" w:cs="Calibri"/>
                <w:b/>
                <w:bCs/>
                <w:noProof/>
                <w:sz w:val="18"/>
                <w:szCs w:val="18"/>
              </w:rPr>
              <w:t>American Nurses Credentialing Center</w:t>
            </w:r>
            <w:r>
              <w:rPr>
                <w:rFonts w:ascii="Aptos" w:eastAsia="Times New Roman" w:hAnsi="Aptos"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</w:tr>
      <w:tr w:rsidR="008A33CC" w14:paraId="236C3895" w14:textId="77777777">
        <w:trPr>
          <w:trHeight w:val="98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BFBFBF"/>
            </w:tcBorders>
            <w:vAlign w:val="center"/>
            <w:hideMark/>
          </w:tcPr>
          <w:p w14:paraId="105016D7" w14:textId="77777777" w:rsidR="008A33CC" w:rsidRDefault="008A33CC">
            <w:pPr>
              <w:rPr>
                <w:color w:val="000000"/>
              </w:rPr>
            </w:pPr>
          </w:p>
        </w:tc>
        <w:tc>
          <w:tcPr>
            <w:tcW w:w="5580" w:type="dxa"/>
            <w:tcBorders>
              <w:top w:val="nil"/>
              <w:left w:val="single" w:sz="4" w:space="0" w:color="BFBFBF"/>
              <w:bottom w:val="nil"/>
              <w:right w:val="nil"/>
            </w:tcBorders>
            <w:hideMark/>
          </w:tcPr>
          <w:p w14:paraId="6B88ED40" w14:textId="77777777" w:rsidR="008A33CC" w:rsidRDefault="008A33CC">
            <w:pPr>
              <w:pStyle w:val="BodyText"/>
              <w:spacing w:after="0" w:line="240" w:lineRule="auto"/>
              <w:rPr>
                <w:rFonts w:ascii="Aptos Light" w:eastAsia="Times New Roman" w:hAnsi="Aptos Light" w:cs="Calibri"/>
                <w:noProof/>
                <w:sz w:val="18"/>
                <w:szCs w:val="18"/>
              </w:rPr>
            </w:pPr>
            <w:r>
              <w:rPr>
                <w:rFonts w:ascii="Aptos" w:eastAsia="Times New Roman" w:hAnsi="Aptos" w:cs="Calibri"/>
                <w:b/>
                <w:bCs/>
                <w:noProof/>
                <w:color w:val="2F3638"/>
                <w:sz w:val="14"/>
                <w:szCs w:val="14"/>
              </w:rPr>
              <w:br/>
            </w:r>
            <w:r>
              <w:rPr>
                <w:rFonts w:ascii="Aptos SemiBold" w:eastAsia="Times New Roman" w:hAnsi="Aptos SemiBold" w:cs="Calibri"/>
                <w:b/>
                <w:bCs/>
                <w:noProof/>
                <w:color w:val="CB3727"/>
                <w:sz w:val="18"/>
                <w:szCs w:val="18"/>
              </w:rPr>
              <w:t>e:</w:t>
            </w:r>
            <w:r>
              <w:rPr>
                <w:rFonts w:ascii="Aptos Light" w:eastAsia="Times New Roman" w:hAnsi="Aptos Light" w:cs="Calibri"/>
                <w:b/>
                <w:bCs/>
                <w:noProof/>
                <w:color w:val="CB3727"/>
                <w:sz w:val="18"/>
                <w:szCs w:val="18"/>
              </w:rPr>
              <w:t> </w:t>
            </w:r>
            <w:hyperlink r:id="rId14" w:history="1">
              <w:r>
                <w:rPr>
                  <w:rStyle w:val="Hyperlink"/>
                  <w:rFonts w:ascii="Aptos" w:eastAsia="Times New Roman" w:hAnsi="Aptos" w:cs="Calibri"/>
                  <w:noProof/>
                  <w:sz w:val="18"/>
                  <w:szCs w:val="18"/>
                </w:rPr>
                <w:t>christine.pabico@ana.org</w:t>
              </w:r>
            </w:hyperlink>
            <w:r>
              <w:rPr>
                <w:rFonts w:ascii="Aptos Light" w:eastAsia="Times New Roman" w:hAnsi="Aptos Light" w:cs="Calibri"/>
                <w:noProof/>
                <w:color w:val="44546A"/>
                <w:sz w:val="18"/>
                <w:szCs w:val="18"/>
              </w:rPr>
              <w:t xml:space="preserve">  </w:t>
            </w:r>
            <w:r>
              <w:rPr>
                <w:rFonts w:ascii="Aptos Light" w:eastAsia="Times New Roman" w:hAnsi="Aptos Light" w:cs="Calibri"/>
                <w:noProof/>
                <w:sz w:val="18"/>
                <w:szCs w:val="18"/>
              </w:rPr>
              <w:t xml:space="preserve"> </w:t>
            </w:r>
          </w:p>
          <w:p w14:paraId="7F02A476" w14:textId="77777777" w:rsidR="008A33CC" w:rsidRDefault="008A33CC">
            <w:pPr>
              <w:pStyle w:val="BodyText"/>
              <w:spacing w:after="0" w:line="240" w:lineRule="auto"/>
              <w:rPr>
                <w:rFonts w:eastAsia="Aptos"/>
              </w:rPr>
            </w:pPr>
            <w:r>
              <w:rPr>
                <w:rFonts w:ascii="Aptos SemiBold" w:eastAsia="Times New Roman" w:hAnsi="Aptos SemiBold" w:cs="Calibri"/>
                <w:b/>
                <w:bCs/>
                <w:noProof/>
                <w:color w:val="CB3727"/>
                <w:sz w:val="18"/>
                <w:szCs w:val="18"/>
              </w:rPr>
              <w:t>m:</w:t>
            </w:r>
            <w:hyperlink r:id="rId15" w:history="1">
              <w:r>
                <w:rPr>
                  <w:rStyle w:val="Hyperlink"/>
                  <w:rFonts w:ascii="Aptos Light" w:eastAsia="Times New Roman" w:hAnsi="Aptos Light" w:cs="Calibri"/>
                  <w:noProof/>
                  <w:color w:val="2F3638"/>
                  <w:sz w:val="18"/>
                  <w:szCs w:val="18"/>
                </w:rPr>
                <w:t xml:space="preserve"> </w:t>
              </w:r>
              <w:r>
                <w:rPr>
                  <w:rStyle w:val="Hyperlink"/>
                  <w:rFonts w:ascii="Aptos" w:eastAsia="Times New Roman" w:hAnsi="Aptos" w:cs="Calibri"/>
                  <w:noProof/>
                  <w:color w:val="2F3638"/>
                  <w:sz w:val="18"/>
                  <w:szCs w:val="18"/>
                </w:rPr>
                <w:t>+1 (2</w:t>
              </w:r>
              <w:r>
                <w:rPr>
                  <w:rStyle w:val="Hyperlink"/>
                  <w:rFonts w:ascii="Aptos" w:hAnsi="Aptos"/>
                  <w:color w:val="2F3638"/>
                  <w:sz w:val="18"/>
                  <w:szCs w:val="18"/>
                </w:rPr>
                <w:t>02</w:t>
              </w:r>
              <w:r>
                <w:rPr>
                  <w:rStyle w:val="Hyperlink"/>
                  <w:rFonts w:ascii="Aptos" w:eastAsia="Times New Roman" w:hAnsi="Aptos" w:cs="Calibri"/>
                  <w:noProof/>
                  <w:color w:val="2F3638"/>
                  <w:sz w:val="18"/>
                  <w:szCs w:val="18"/>
                </w:rPr>
                <w:t>) 2</w:t>
              </w:r>
              <w:r>
                <w:rPr>
                  <w:rStyle w:val="Hyperlink"/>
                  <w:rFonts w:ascii="Aptos" w:hAnsi="Aptos"/>
                  <w:color w:val="2F3638"/>
                  <w:sz w:val="18"/>
                  <w:szCs w:val="18"/>
                </w:rPr>
                <w:t>71</w:t>
              </w:r>
              <w:r>
                <w:rPr>
                  <w:rStyle w:val="Hyperlink"/>
                  <w:rFonts w:ascii="Aptos" w:eastAsia="Times New Roman" w:hAnsi="Aptos" w:cs="Calibri"/>
                  <w:noProof/>
                  <w:color w:val="2F3638"/>
                  <w:sz w:val="18"/>
                  <w:szCs w:val="18"/>
                </w:rPr>
                <w:t>.8</w:t>
              </w:r>
              <w:r>
                <w:rPr>
                  <w:rStyle w:val="Hyperlink"/>
                  <w:rFonts w:ascii="Aptos" w:hAnsi="Aptos"/>
                  <w:color w:val="2F3638"/>
                  <w:sz w:val="18"/>
                  <w:szCs w:val="18"/>
                </w:rPr>
                <w:t>249</w:t>
              </w:r>
            </w:hyperlink>
            <w:r>
              <w:rPr>
                <w:rFonts w:ascii="Aptos Light" w:eastAsia="Times New Roman" w:hAnsi="Aptos Light" w:cs="Calibri"/>
                <w:noProof/>
                <w:sz w:val="18"/>
                <w:szCs w:val="18"/>
              </w:rPr>
              <w:br/>
            </w:r>
            <w:r>
              <w:rPr>
                <w:rFonts w:ascii="Aptos Light" w:eastAsia="Times New Roman" w:hAnsi="Aptos Light" w:cs="Calibri"/>
                <w:noProof/>
                <w:sz w:val="18"/>
                <w:szCs w:val="18"/>
              </w:rPr>
              <w:br/>
            </w:r>
            <w:hyperlink r:id="rId16" w:history="1">
              <w:r>
                <w:rPr>
                  <w:rStyle w:val="Hyperlink"/>
                  <w:rFonts w:ascii="Aptos" w:eastAsia="Times New Roman" w:hAnsi="Aptos" w:cs="Calibri"/>
                  <w:b/>
                  <w:bCs/>
                  <w:noProof/>
                  <w:color w:val="CB3727"/>
                  <w:sz w:val="18"/>
                  <w:szCs w:val="18"/>
                </w:rPr>
                <w:t>ana.org</w:t>
              </w:r>
            </w:hyperlink>
          </w:p>
        </w:tc>
      </w:tr>
    </w:tbl>
    <w:p w14:paraId="4747580C" w14:textId="77777777" w:rsidR="008A33CC" w:rsidRDefault="008A33CC" w:rsidP="00637C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</w:p>
    <w:p w14:paraId="79B80CE6" w14:textId="77777777" w:rsidR="00B53A01" w:rsidRPr="00A6177E" w:rsidRDefault="00B53A01" w:rsidP="00637C8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00" w:lineRule="atLeast"/>
        <w:rPr>
          <w:rFonts w:ascii="Segoe UI" w:eastAsia="Times New Roman" w:hAnsi="Segoe UI" w:cs="Segoe UI"/>
          <w:sz w:val="21"/>
          <w:szCs w:val="21"/>
          <w:bdr w:val="none" w:sz="0" w:space="0" w:color="auto"/>
        </w:rPr>
      </w:pPr>
    </w:p>
    <w:p w14:paraId="509452C3" w14:textId="77777777" w:rsidR="002504C9" w:rsidRDefault="002504C9" w:rsidP="00530B88">
      <w:pPr>
        <w:pStyle w:val="Default"/>
        <w:spacing w:before="0" w:after="240"/>
        <w:rPr>
          <w:rFonts w:asciiTheme="minorHAnsi" w:hAnsiTheme="minorHAnsi"/>
          <w:color w:val="2F3638"/>
          <w:sz w:val="22"/>
          <w:szCs w:val="22"/>
        </w:rPr>
      </w:pPr>
    </w:p>
    <w:p w14:paraId="6537D050" w14:textId="77777777" w:rsidR="002504C9" w:rsidRDefault="002504C9" w:rsidP="00530B88">
      <w:pPr>
        <w:pStyle w:val="Default"/>
        <w:spacing w:before="0" w:after="240"/>
        <w:rPr>
          <w:rFonts w:asciiTheme="minorHAnsi" w:hAnsiTheme="minorHAnsi"/>
          <w:color w:val="2F3638"/>
          <w:sz w:val="22"/>
          <w:szCs w:val="22"/>
        </w:rPr>
      </w:pPr>
    </w:p>
    <w:p w14:paraId="293F8639" w14:textId="77777777" w:rsidR="002504C9" w:rsidRDefault="002504C9" w:rsidP="00530B88">
      <w:pPr>
        <w:pStyle w:val="Default"/>
        <w:spacing w:before="0" w:after="240"/>
        <w:rPr>
          <w:rFonts w:asciiTheme="minorHAnsi" w:hAnsiTheme="minorHAnsi"/>
          <w:color w:val="2F3638"/>
          <w:sz w:val="22"/>
          <w:szCs w:val="22"/>
        </w:rPr>
      </w:pPr>
    </w:p>
    <w:p w14:paraId="050D0789" w14:textId="77777777" w:rsidR="002504C9" w:rsidRDefault="002504C9" w:rsidP="00530B88">
      <w:pPr>
        <w:pStyle w:val="Default"/>
        <w:spacing w:before="0" w:after="240"/>
        <w:rPr>
          <w:rFonts w:asciiTheme="minorHAnsi" w:hAnsiTheme="minorHAnsi"/>
          <w:color w:val="2F3638"/>
          <w:sz w:val="22"/>
          <w:szCs w:val="22"/>
        </w:rPr>
      </w:pPr>
    </w:p>
    <w:p w14:paraId="5FE6C98A" w14:textId="77777777" w:rsidR="002504C9" w:rsidRDefault="002504C9" w:rsidP="00530B88">
      <w:pPr>
        <w:pStyle w:val="Default"/>
        <w:spacing w:before="0" w:after="240"/>
        <w:rPr>
          <w:rFonts w:asciiTheme="minorHAnsi" w:hAnsiTheme="minorHAnsi"/>
          <w:color w:val="2F3638"/>
          <w:sz w:val="22"/>
          <w:szCs w:val="22"/>
        </w:rPr>
      </w:pPr>
    </w:p>
    <w:p w14:paraId="33CEAADF" w14:textId="77777777" w:rsidR="002504C9" w:rsidRDefault="002504C9" w:rsidP="00530B88">
      <w:pPr>
        <w:pStyle w:val="Default"/>
        <w:spacing w:before="0" w:after="240"/>
        <w:rPr>
          <w:rFonts w:asciiTheme="minorHAnsi" w:hAnsiTheme="minorHAnsi"/>
          <w:color w:val="2F3638"/>
          <w:sz w:val="22"/>
          <w:szCs w:val="22"/>
        </w:rPr>
      </w:pPr>
    </w:p>
    <w:p w14:paraId="1A7DEA88" w14:textId="77777777" w:rsidR="002504C9" w:rsidRPr="006531F0" w:rsidRDefault="002504C9" w:rsidP="00530B88">
      <w:pPr>
        <w:pStyle w:val="Default"/>
        <w:spacing w:before="0" w:after="240"/>
        <w:rPr>
          <w:rFonts w:asciiTheme="minorHAnsi" w:hAnsiTheme="minorHAnsi"/>
          <w:color w:val="2F3638"/>
          <w:sz w:val="22"/>
          <w:szCs w:val="22"/>
        </w:rPr>
      </w:pPr>
    </w:p>
    <w:sectPr w:rsidR="002504C9" w:rsidRPr="006531F0" w:rsidSect="00890DA8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A488B" w14:textId="77777777" w:rsidR="006A21DA" w:rsidRDefault="006A21DA">
      <w:r>
        <w:separator/>
      </w:r>
    </w:p>
  </w:endnote>
  <w:endnote w:type="continuationSeparator" w:id="0">
    <w:p w14:paraId="7EFD01F8" w14:textId="77777777" w:rsidR="006A21DA" w:rsidRDefault="006A2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chocib Script Latin Pro">
    <w:charset w:val="00"/>
    <w:family w:val="auto"/>
    <w:pitch w:val="variable"/>
    <w:sig w:usb0="A00000AF" w:usb1="5000004A" w:usb2="00000000" w:usb3="00000000" w:csb0="00000093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9DA43" w14:textId="77777777" w:rsidR="00890DA8" w:rsidRDefault="00890DA8">
    <w:pPr>
      <w:pStyle w:val="Footer"/>
    </w:pPr>
    <w:r w:rsidRPr="002B21B4">
      <w:rPr>
        <w:rFonts w:ascii="Source Sans Pro" w:hAnsi="Source Sans Pro"/>
        <w:noProof/>
      </w:rPr>
      <w:drawing>
        <wp:anchor distT="152400" distB="152400" distL="152400" distR="152400" simplePos="0" relativeHeight="251668480" behindDoc="0" locked="0" layoutInCell="1" allowOverlap="1" wp14:anchorId="4B7B42CB" wp14:editId="4B7B42CC">
          <wp:simplePos x="0" y="0"/>
          <wp:positionH relativeFrom="page">
            <wp:posOffset>3103880</wp:posOffset>
          </wp:positionH>
          <wp:positionV relativeFrom="page">
            <wp:posOffset>9518793</wp:posOffset>
          </wp:positionV>
          <wp:extent cx="1600200" cy="246380"/>
          <wp:effectExtent l="0" t="0" r="0" b="0"/>
          <wp:wrapNone/>
          <wp:docPr id="1194422950" name="officeArt object" descr="pasted-image.tif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tiff" descr="pasted-image.tif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200" cy="246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C99C9" w14:textId="77777777" w:rsidR="00652D71" w:rsidRDefault="00652D71">
    <w:pPr>
      <w:pStyle w:val="Footer"/>
    </w:pPr>
    <w:r w:rsidRPr="002B21B4">
      <w:rPr>
        <w:rFonts w:ascii="Source Sans Pro" w:hAnsi="Source Sans Pro"/>
        <w:noProof/>
      </w:rPr>
      <w:drawing>
        <wp:anchor distT="152400" distB="152400" distL="152400" distR="152400" simplePos="0" relativeHeight="251663360" behindDoc="0" locked="0" layoutInCell="1" allowOverlap="1" wp14:anchorId="4B7B42D1" wp14:editId="4B7B42D2">
          <wp:simplePos x="0" y="0"/>
          <wp:positionH relativeFrom="page">
            <wp:posOffset>3104515</wp:posOffset>
          </wp:positionH>
          <wp:positionV relativeFrom="page">
            <wp:posOffset>9519428</wp:posOffset>
          </wp:positionV>
          <wp:extent cx="1600200" cy="246380"/>
          <wp:effectExtent l="0" t="0" r="0" b="0"/>
          <wp:wrapNone/>
          <wp:docPr id="1889948409" name="officeArt object" descr="pasted-image.tif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tiff" descr="pasted-image.tiff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00200" cy="24638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1591" w14:textId="77777777" w:rsidR="006A21DA" w:rsidRDefault="006A21DA">
      <w:r>
        <w:separator/>
      </w:r>
    </w:p>
  </w:footnote>
  <w:footnote w:type="continuationSeparator" w:id="0">
    <w:p w14:paraId="6AF370FB" w14:textId="77777777" w:rsidR="006A21DA" w:rsidRDefault="006A2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0898" w14:textId="77777777" w:rsidR="004D3A32" w:rsidRDefault="004D3A32" w:rsidP="00890DA8">
    <w:pPr>
      <w:pStyle w:val="Header"/>
      <w:tabs>
        <w:tab w:val="clear" w:pos="4680"/>
        <w:tab w:val="clear" w:pos="9360"/>
        <w:tab w:val="left" w:pos="343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9A67" w14:textId="77777777" w:rsidR="00652D71" w:rsidRDefault="00514660">
    <w:pPr>
      <w:pStyle w:val="Header"/>
    </w:pPr>
    <w:r w:rsidRPr="00EB6C5E">
      <w:rPr>
        <w:noProof/>
      </w:rPr>
      <w:drawing>
        <wp:anchor distT="0" distB="0" distL="114300" distR="114300" simplePos="0" relativeHeight="251656189" behindDoc="0" locked="0" layoutInCell="1" allowOverlap="1" wp14:anchorId="4B7B42CD" wp14:editId="3A50807A">
          <wp:simplePos x="0" y="0"/>
          <wp:positionH relativeFrom="column">
            <wp:posOffset>-518159</wp:posOffset>
          </wp:positionH>
          <wp:positionV relativeFrom="paragraph">
            <wp:posOffset>-243016</wp:posOffset>
          </wp:positionV>
          <wp:extent cx="2415729" cy="970481"/>
          <wp:effectExtent l="0" t="0" r="3810" b="1270"/>
          <wp:wrapNone/>
          <wp:docPr id="795175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17586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5729" cy="9704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08D5" w:rsidRPr="002B21B4">
      <w:rPr>
        <w:rFonts w:ascii="Source Sans Pro" w:hAnsi="Source Sans Pro"/>
        <w:noProof/>
      </w:rPr>
      <w:drawing>
        <wp:anchor distT="152400" distB="152400" distL="152400" distR="152400" simplePos="0" relativeHeight="251661312" behindDoc="0" locked="0" layoutInCell="1" allowOverlap="1" wp14:anchorId="4B7B42CF" wp14:editId="4B7B42D0">
          <wp:simplePos x="0" y="0"/>
          <wp:positionH relativeFrom="page">
            <wp:posOffset>5889180</wp:posOffset>
          </wp:positionH>
          <wp:positionV relativeFrom="page">
            <wp:posOffset>405765</wp:posOffset>
          </wp:positionV>
          <wp:extent cx="1435735" cy="630555"/>
          <wp:effectExtent l="0" t="0" r="0" b="4445"/>
          <wp:wrapNone/>
          <wp:docPr id="636691530" name="officeArt object" descr="pasted-image.tif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pasted-image.tiff" descr="pasted-image.tiff"/>
                  <pic:cNvPicPr>
                    <a:picLocks noChangeAspect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5735" cy="63055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3B395123" w14:textId="77777777" w:rsidR="00652D71" w:rsidRDefault="00652D71">
    <w:pPr>
      <w:pStyle w:val="Header"/>
    </w:pPr>
  </w:p>
  <w:p w14:paraId="20EA7EE3" w14:textId="77777777" w:rsidR="00652D71" w:rsidRDefault="00652D71">
    <w:pPr>
      <w:pStyle w:val="Header"/>
    </w:pPr>
  </w:p>
  <w:p w14:paraId="5F1295C4" w14:textId="77777777" w:rsidR="00652D71" w:rsidRDefault="00652D71">
    <w:pPr>
      <w:pStyle w:val="Header"/>
    </w:pPr>
  </w:p>
  <w:p w14:paraId="67086F18" w14:textId="77777777" w:rsidR="00652D71" w:rsidRDefault="00652D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6A7DD8"/>
    <w:multiLevelType w:val="hybridMultilevel"/>
    <w:tmpl w:val="43FA1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7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357"/>
    <w:rsid w:val="000A5D0D"/>
    <w:rsid w:val="00100395"/>
    <w:rsid w:val="00132726"/>
    <w:rsid w:val="001E04C1"/>
    <w:rsid w:val="001E7714"/>
    <w:rsid w:val="001F407E"/>
    <w:rsid w:val="00214D23"/>
    <w:rsid w:val="002504C9"/>
    <w:rsid w:val="002B21B4"/>
    <w:rsid w:val="002E4FDA"/>
    <w:rsid w:val="0033288C"/>
    <w:rsid w:val="004063E5"/>
    <w:rsid w:val="00423832"/>
    <w:rsid w:val="004B4391"/>
    <w:rsid w:val="004B6FFA"/>
    <w:rsid w:val="004C75B3"/>
    <w:rsid w:val="004D3A32"/>
    <w:rsid w:val="004F3B86"/>
    <w:rsid w:val="00514660"/>
    <w:rsid w:val="00530B88"/>
    <w:rsid w:val="00546D21"/>
    <w:rsid w:val="005E2A62"/>
    <w:rsid w:val="005E2B78"/>
    <w:rsid w:val="00637C8E"/>
    <w:rsid w:val="00652D71"/>
    <w:rsid w:val="006531F0"/>
    <w:rsid w:val="006925EC"/>
    <w:rsid w:val="0069674E"/>
    <w:rsid w:val="006A21DA"/>
    <w:rsid w:val="00753357"/>
    <w:rsid w:val="007F24DA"/>
    <w:rsid w:val="00826C69"/>
    <w:rsid w:val="00890DA8"/>
    <w:rsid w:val="00894936"/>
    <w:rsid w:val="008A33CC"/>
    <w:rsid w:val="008F0E0B"/>
    <w:rsid w:val="00A133DA"/>
    <w:rsid w:val="00A20409"/>
    <w:rsid w:val="00A6177E"/>
    <w:rsid w:val="00A66C31"/>
    <w:rsid w:val="00A8412B"/>
    <w:rsid w:val="00B331C2"/>
    <w:rsid w:val="00B53A01"/>
    <w:rsid w:val="00BA58CB"/>
    <w:rsid w:val="00C32AD2"/>
    <w:rsid w:val="00C8167C"/>
    <w:rsid w:val="00D86BA2"/>
    <w:rsid w:val="00D96360"/>
    <w:rsid w:val="00E729CA"/>
    <w:rsid w:val="00EB6C5E"/>
    <w:rsid w:val="00F258B5"/>
    <w:rsid w:val="00F408D5"/>
    <w:rsid w:val="00FC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4AAEB9"/>
  <w15:docId w15:val="{7A12C6F8-F979-4ADC-AD8E-4BE6342B7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530B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0B8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30B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0B88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A33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360" w:lineRule="auto"/>
    </w:pPr>
    <w:rPr>
      <w:rFonts w:asciiTheme="minorHAnsi" w:eastAsia="Calibri" w:hAnsiTheme="minorHAnsi" w:cstheme="minorBidi"/>
      <w:color w:val="000000"/>
      <w:kern w:val="2"/>
      <w:bdr w:val="none" w:sz="0" w:space="0" w:color="auto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A33CC"/>
    <w:rPr>
      <w:rFonts w:asciiTheme="minorHAnsi" w:eastAsia="Calibri" w:hAnsiTheme="minorHAnsi" w:cstheme="minorBidi"/>
      <w:color w:val="000000"/>
      <w:kern w:val="2"/>
      <w:sz w:val="24"/>
      <w:szCs w:val="24"/>
      <w:bdr w:val="none" w:sz="0" w:space="0" w:color="auto"/>
      <w14:ligatures w14:val="standardContextual"/>
    </w:rPr>
  </w:style>
  <w:style w:type="table" w:styleId="TableGrid">
    <w:name w:val="Table Grid"/>
    <w:basedOn w:val="TableNormal"/>
    <w:uiPriority w:val="39"/>
    <w:rsid w:val="008A33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="Calibri" w:hAnsiTheme="minorHAnsi" w:cstheme="minorBidi"/>
      <w:kern w:val="2"/>
      <w:sz w:val="24"/>
      <w:szCs w:val="24"/>
      <w:bdr w:val="none" w:sz="0" w:space="0" w:color="auto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ana.org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na.org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journals.lww.com/jonajournal/fulltext/2026/03000/the_evidence_behind_ancc_s_pathway_to_excellence_.5.aspx" TargetMode="External"/><Relationship Id="rId5" Type="http://schemas.openxmlformats.org/officeDocument/2006/relationships/numbering" Target="numbering.xml"/><Relationship Id="rId15" Type="http://schemas.openxmlformats.org/officeDocument/2006/relationships/hyperlink" Target="tel:2134567890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ristine.pabico@ana.org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tif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ne.pabico\Downloads\ANCC%20Letterhead%20(3).dotx" TargetMode="External"/></Relationships>
</file>

<file path=word/theme/theme1.xml><?xml version="1.0" encoding="utf-8"?>
<a:theme xmlns:a="http://schemas.openxmlformats.org/drawingml/2006/main" name="Blank">
  <a:themeElements>
    <a:clrScheme name="ANA Color Palette">
      <a:dk1>
        <a:srgbClr val="2F3638"/>
      </a:dk1>
      <a:lt1>
        <a:srgbClr val="FFFFFF"/>
      </a:lt1>
      <a:dk2>
        <a:srgbClr val="5E5E5E"/>
      </a:dk2>
      <a:lt2>
        <a:srgbClr val="D5D5D5"/>
      </a:lt2>
      <a:accent1>
        <a:srgbClr val="CB3627"/>
      </a:accent1>
      <a:accent2>
        <a:srgbClr val="009685"/>
      </a:accent2>
      <a:accent3>
        <a:srgbClr val="193E4B"/>
      </a:accent3>
      <a:accent4>
        <a:srgbClr val="10B3CC"/>
      </a:accent4>
      <a:accent5>
        <a:srgbClr val="F79348"/>
      </a:accent5>
      <a:accent6>
        <a:srgbClr val="FFCE34"/>
      </a:accent6>
      <a:hlink>
        <a:srgbClr val="009685"/>
      </a:hlink>
      <a:folHlink>
        <a:srgbClr val="89BFB5"/>
      </a:folHlink>
    </a:clrScheme>
    <a:fontScheme name="Aptos">
      <a:majorFont>
        <a:latin typeface="Aptos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ptos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56EB6708F9B748B390A604A6A8BD16" ma:contentTypeVersion="10" ma:contentTypeDescription="Create a new document." ma:contentTypeScope="" ma:versionID="dd17ace441724b490560b06a0f16fdcd">
  <xsd:schema xmlns:xsd="http://www.w3.org/2001/XMLSchema" xmlns:xs="http://www.w3.org/2001/XMLSchema" xmlns:p="http://schemas.microsoft.com/office/2006/metadata/properties" xmlns:ns2="a0303da7-7b52-4154-9a9a-d5293cf577f7" xmlns:ns3="d5ea0f55-cafe-440a-9f3c-4b8079946673" targetNamespace="http://schemas.microsoft.com/office/2006/metadata/properties" ma:root="true" ma:fieldsID="ddaad8260bff95737cde541a4e54d5c7" ns2:_="" ns3:_="">
    <xsd:import namespace="a0303da7-7b52-4154-9a9a-d5293cf577f7"/>
    <xsd:import namespace="d5ea0f55-cafe-440a-9f3c-4b80799466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03da7-7b52-4154-9a9a-d5293cf57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b7f065-5329-4335-a3c3-a1dcfdec8c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a0f55-cafe-440a-9f3c-4b80799466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955fd7c-968c-45bb-be13-9d349af0154e}" ma:internalName="TaxCatchAll" ma:showField="CatchAllData" ma:web="d5ea0f55-cafe-440a-9f3c-4b80799466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ea0f55-cafe-440a-9f3c-4b8079946673" xsi:nil="true"/>
    <lcf76f155ced4ddcb4097134ff3c332f xmlns="a0303da7-7b52-4154-9a9a-d5293cf577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A295CC-B8CE-4DCD-88EA-E7935CB7B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03da7-7b52-4154-9a9a-d5293cf577f7"/>
    <ds:schemaRef ds:uri="d5ea0f55-cafe-440a-9f3c-4b80799466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10397-6286-C24A-A0D2-563434214E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7DA00-08D1-4747-B31A-FC9E2445CF63}">
  <ds:schemaRefs>
    <ds:schemaRef ds:uri="http://schemas.microsoft.com/office/2006/metadata/properties"/>
    <ds:schemaRef ds:uri="http://schemas.microsoft.com/office/infopath/2007/PartnerControls"/>
    <ds:schemaRef ds:uri="d5ea0f55-cafe-440a-9f3c-4b8079946673"/>
    <ds:schemaRef ds:uri="a0303da7-7b52-4154-9a9a-d5293cf577f7"/>
  </ds:schemaRefs>
</ds:datastoreItem>
</file>

<file path=customXml/itemProps4.xml><?xml version="1.0" encoding="utf-8"?>
<ds:datastoreItem xmlns:ds="http://schemas.openxmlformats.org/officeDocument/2006/customXml" ds:itemID="{527E29AB-B1C8-4CE1-935A-73D7F53C68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ANCC Letterhead (3)</Template>
  <TotalTime>64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Pabico</dc:creator>
  <cp:lastModifiedBy>Will Carson</cp:lastModifiedBy>
  <cp:revision>10</cp:revision>
  <dcterms:created xsi:type="dcterms:W3CDTF">2026-03-11T14:39:00Z</dcterms:created>
  <dcterms:modified xsi:type="dcterms:W3CDTF">2026-03-26T15:32:00Z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0x0101005956EB6708F9B748B390A604A6A8BD16</vt:lpwstr>
  </property>
</Properties>
</file>